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d"/>
        <w:tblW w:w="1478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322"/>
        <w:gridCol w:w="5463"/>
      </w:tblGrid>
      <w:tr>
        <w:trPr/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4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Приложение № 1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 постановлению Администрации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Куженерского муниципального района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Республики Марий Эл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 15 февраля 2024 года № 64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 мероприятий («дорожная карта»)</w:t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 снижению рисков нарушения антимонопольного законодательства в Администрации Куженерского муниципального района на 2024-2025 гг.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d"/>
        <w:tblW w:w="1499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64"/>
        <w:gridCol w:w="3226"/>
        <w:gridCol w:w="2206"/>
        <w:gridCol w:w="1769"/>
        <w:gridCol w:w="2145"/>
        <w:gridCol w:w="2181"/>
      </w:tblGrid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Комплаенс-риск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 по минимизации и устранению рисков (согласно карте рисков)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Распределение ответственности и полномочий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Календарный план выполнения работ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Планируемый результат</w:t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Критерии эффективности</w:t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Нарушения при осуществлении закупок товаров, работ, услуг для обеспечения муниципальных нужд, повлекшее нарушение антимонопольного законодательства (дробление (укрупнение) закупки, предоставление документов о закупке до начала размещения извещения и документации в ЕИС, конфликт интересов членов комиссии, несоответствие в проекте контракта условий контракта предложению участника закупки; не заключение муниципального контракта)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1.Систематическое повышение квалификации работников службы закупок.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2.Мониторинг изменений законодательства о закупках.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4.Осуществление муниципального финансового контроля.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Руководитель отдела муниципальных закупок, специалист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документов без наличия рисков нарушения антимонопольного законодательства,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Разработка проектов нормативных правовых актов, соглашений и осуществление действий (бездействия), которые могут привести к недопущению, ограничению, устранению конкуренции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лиц, ответственных за разработку проектов правовых актов.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Мониторинг и анализ практики применения антимонопольного законодательства.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Размещение на официальном сайте Куженерского муниципального района полного перечня действующих НПА (за исключением НПА, содержащих государственную тайну).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 Анализ проектов правовых актов на наличие рисков нарушения антимонопольного законодательства.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5.Проведение оценки регулирующего воздействия проектов НПА и экспертизы действующих НПА в области инвестиционной деятельности и развития предпринимательства.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документов без наличия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Нарушение порядка предоставления муниципальных услуг: отказ в предоставлении муниципальной услуги по основаниям, не предусмотренным законодательством; нарушение сроков предоставления муниципальных услуг, установленных административными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регламентами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Осуществление текущего контроля предоставления муниципальных услуг.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Мониторинг актуальности административных регламентов, технологических схем оказания муниципальных услуг.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Повышение внутреннего контроля.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Оказание муниципальных услуг без риска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Передача имущества без торгов, нарушение порядка проведения торгов, нарушение порядка определения победителя торгов, требования о предоставлении документов, не предусмотренных документацией, не соблюдение сроков проведения торгов, неправомерные требования к участникам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Усиление внутреннего контроля.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Мониторинг изменения законодательства в области имущественных отношений.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управлению имуществом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Передача имущества без риска нарушения антимонопольного законодательства</w:t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Нарушения при проведении открытого конкурса по отбору управляющей организации для управления многоквартирными домами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Усиление внутреннего контроля.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3. Мониторинг изменения законодательства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об управлении многоквартирными домами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архитектуры, строительства и муниципального хозяйства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Отбор управляющей организации без риска нарушения антимонопольного законодательства</w:t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Нарушения при проведении аукциона на право заключения договора на установку и эксплуатацию рекламной конструкции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Усиление внутреннего контроля.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Мониторинг изменения законодательства в области законодательства о рекламе.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архитектуры, строительства и муниципального хозяйства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Заключение договора на установку и эксплуатацию рекламной конструкции без риска нарушения антимонопольного законодательства</w:t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Нарушения при проведении аукциона на право размещения нестационарного торгового объекта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Усиление внутреннего контроля.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 Мониторинг изменения законодательства в области торговой деятельности.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экономики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Заключение договора на право размещения нестационарного торгового объекта без риска нарушения антимонопольного законодательства</w:t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Подготовка ответов на обращения физических и юридических лиц с нарушением срока,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предусмотренного законодательством;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Предоставление обратившимся гражданам или юридическим лицам информации в приоритетном порядке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сотрудников.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Усиление внутреннего контроля.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законодательства, количество сотрудников, прошедших обучение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необоснованных преимуществ при оказании поддержки субъектам инвестиционной и предпринимательской деятельности  (при предоставлении преференций, льгот, гарантий, освобождения от налогов, предоставлении земельных участков, недвижимого имущества)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Анализ проектов правовых актов на наличие рисков нарушения антимонопольного законодательства.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Предоставление хозяйствующим субъектам доступа к информации в приоритетном порядке (о предстоящих торгах по закупкам для муниципальных нужд, продаже (аренде) имущества, права на размещение объекта до официального размещения извещения)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Мониторинг и анализ практики применения антимонопольного законодательства.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Заключение соглашений, договоров и контрактов, ограничивающих конкуренцию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Мониторинг и анализ практики применения антимонопольного законодательства.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Организация работы структурных подразделений с учетом практики применения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Проведение муниципальных проверок с нарушением порядка их проведения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Мониторинг и анализ практики применения антимонопольного законодательства.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Должностные лица, уполномоченные на проведение муниципального контроля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Истребование документов, не предусмотренных НПА (в том числе при проверках, закупках, продажах и передаче в пользование, оказании муниципальных услуг)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Мониторинг и анализ практики применения антимонопольного законодательства.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Создание дискриминационных условий хозяйствующим субъектам (неравные условия по срокам оплаты, условиям оплаты, размеру партии, цене на товар, штрафных санкций и др.)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Анализ нормативно правовых актов на соответствие требованиям антимонопольного законодательства.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Мониторинг и анализ практики применения антимонопольного законодательства.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Передача функций органов местного самоуправления хозяйствующим субъектам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Повышение уровня квалификации должностных лиц.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Анализ нормативно правовых актов на соответствие требованиям антимонопольного законодательства.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</w:tc>
      </w:tr>
      <w:tr>
        <w:trPr/>
        <w:tc>
          <w:tcPr>
            <w:tcW w:w="3464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Не исполнение предупреждения антимонопольного органа</w:t>
            </w:r>
          </w:p>
        </w:tc>
        <w:tc>
          <w:tcPr>
            <w:tcW w:w="322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 Усиление внутреннего контроля.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 Повышение квалификации должностных лиц.</w:t>
            </w:r>
          </w:p>
        </w:tc>
        <w:tc>
          <w:tcPr>
            <w:tcW w:w="2206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Руководители структурных подразделений</w:t>
            </w:r>
          </w:p>
        </w:tc>
        <w:tc>
          <w:tcPr>
            <w:tcW w:w="1769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4-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гг.</w:t>
            </w:r>
          </w:p>
        </w:tc>
        <w:tc>
          <w:tcPr>
            <w:tcW w:w="2145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рисков нарушения антимонопольного законодательства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8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Отсутствие выявленных нарушений антимонопольного законодательства, количество сотрудников, прошедших обучение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794" w:footer="0" w:bottom="62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2cd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bb766b"/>
    <w:rPr>
      <w:rFonts w:ascii="Tahoma" w:hAnsi="Tahoma" w:cs="Tahoma"/>
      <w:sz w:val="16"/>
      <w:szCs w:val="16"/>
    </w:rPr>
  </w:style>
  <w:style w:type="paragraph" w:styleId="Style15" w:customStyle="1">
    <w:name w:val="Заголовок"/>
    <w:basedOn w:val="Normal"/>
    <w:next w:val="Style16"/>
    <w:qFormat/>
    <w:rsid w:val="00a92cd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rsid w:val="00a92cdb"/>
    <w:pPr>
      <w:spacing w:before="0" w:after="140"/>
    </w:pPr>
    <w:rPr/>
  </w:style>
  <w:style w:type="paragraph" w:styleId="Style17">
    <w:name w:val="List"/>
    <w:basedOn w:val="Style16"/>
    <w:rsid w:val="00a92cdb"/>
    <w:pPr/>
    <w:rPr>
      <w:rFonts w:cs="Arial"/>
    </w:rPr>
  </w:style>
  <w:style w:type="paragraph" w:styleId="Style18" w:customStyle="1">
    <w:name w:val="Caption"/>
    <w:basedOn w:val="Normal"/>
    <w:qFormat/>
    <w:rsid w:val="00a92c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92cdb"/>
    <w:pPr>
      <w:suppressLineNumbers/>
    </w:pPr>
    <w:rPr>
      <w:rFonts w:cs="Arial"/>
    </w:rPr>
  </w:style>
  <w:style w:type="paragraph" w:styleId="Default" w:customStyle="1">
    <w:name w:val="Default"/>
    <w:qFormat/>
    <w:rsid w:val="00c04d4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177130"/>
    <w:pPr>
      <w:spacing w:lineRule="auto" w:line="259"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362130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bb766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 w:customStyle="1">
    <w:name w:val="Содержимое таблицы"/>
    <w:basedOn w:val="Normal"/>
    <w:qFormat/>
    <w:rsid w:val="00a92cdb"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rsid w:val="00a92cdb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c04d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Application>LibreOffice/7.5.7.1$Windows_X86_64 LibreOffice_project/47eb0cf7efbacdee9b19ae25d6752381ede23126</Application>
  <AppVersion>15.0000</AppVersion>
  <Pages>6</Pages>
  <Words>1048</Words>
  <Characters>9311</Characters>
  <CharactersWithSpaces>10215</CharactersWithSpaces>
  <Paragraphs>145</Paragraphs>
  <Company>WolfishLair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2019-09-19T05:28:00Z</dcterms:created>
  <dc:creator>User</dc:creator>
  <dc:description/>
  <dc:language>ru-RU</dc:language>
  <cp:lastModifiedBy/>
  <cp:lastPrinted>2019-09-20T07:33:00Z</cp:lastPrinted>
  <dcterms:modified xsi:type="dcterms:W3CDTF">2024-02-15T14:55:44Z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